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afterAutospacing="0"/>
        <w:ind w:firstLine="720" w:firstLineChars="200"/>
        <w:jc w:val="both"/>
        <w:rPr>
          <w:rFonts w:hint="eastAsia" w:ascii="微软雅黑" w:hAnsi="微软雅黑" w:eastAsia="微软雅黑" w:cstheme="minorBidi"/>
          <w:b/>
          <w:kern w:val="2"/>
          <w:sz w:val="36"/>
          <w:szCs w:val="36"/>
          <w:lang w:eastAsia="zh-CN"/>
        </w:rPr>
      </w:pPr>
      <w:r>
        <w:rPr>
          <w:rFonts w:hint="eastAsia" w:ascii="微软雅黑" w:hAnsi="微软雅黑" w:eastAsia="微软雅黑" w:cstheme="minorBidi"/>
          <w:b/>
          <w:kern w:val="2"/>
          <w:sz w:val="36"/>
          <w:szCs w:val="36"/>
          <w:lang w:eastAsia="zh-CN"/>
        </w:rPr>
        <w:t>湖南</w:t>
      </w:r>
      <w:r>
        <w:rPr>
          <w:rFonts w:hint="eastAsia" w:ascii="微软雅黑" w:hAnsi="微软雅黑" w:eastAsia="微软雅黑" w:cstheme="minorBidi"/>
          <w:b/>
          <w:kern w:val="2"/>
          <w:sz w:val="36"/>
          <w:szCs w:val="36"/>
          <w:lang w:eastAsia="zh-CN"/>
        </w:rPr>
        <w:t>银行行内客户网银缴存投标保证金流程</w:t>
      </w:r>
    </w:p>
    <w:p>
      <w:pPr>
        <w:ind w:firstLine="640" w:firstLineChars="200"/>
        <w:rPr>
          <w:rFonts w:ascii="仿宋_GB2312" w:hAnsi="华文楷体" w:eastAsia="仿宋_GB2312"/>
          <w:sz w:val="32"/>
          <w:szCs w:val="32"/>
        </w:rPr>
      </w:pP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湖南银行行内客户网银缴存投标保证金由客户登录湖南银行企业网银界面，通过企业网银U盾操作，企业网银U盾分为操作员和授权复核员，现将具体流程说明如下：</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一、第一步：</w:t>
      </w:r>
    </w:p>
    <w:p>
      <w:pPr>
        <w:widowControl w:val="0"/>
        <w:numPr>
          <w:ilvl w:val="0"/>
          <w:numId w:val="0"/>
        </w:numPr>
        <w:spacing w:before="0" w:beforeAutospacing="0" w:after="0" w:afterAutospacing="0"/>
        <w:ind w:firstLine="600"/>
        <w:jc w:val="both"/>
        <w:rPr>
          <w:rFonts w:hint="default"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操作员登录企业网银界面，在业务菜单栏选择【分行特色】——【公共资源保证金缴存】——【保证金缴存】，打开保证金缴存页面。</w:t>
      </w:r>
    </w:p>
    <w:p>
      <w:pPr>
        <w:widowControl w:val="0"/>
        <w:numPr>
          <w:ilvl w:val="0"/>
          <w:numId w:val="0"/>
        </w:numPr>
        <w:spacing w:before="0" w:beforeAutospacing="0" w:after="0" w:afterAutospacing="0"/>
        <w:jc w:val="both"/>
        <w:rPr>
          <w:rFonts w:hint="eastAsia" w:ascii="仿宋_GB2312" w:hAnsi="华文楷体" w:eastAsia="仿宋_GB2312"/>
          <w:sz w:val="32"/>
          <w:szCs w:val="32"/>
        </w:rPr>
      </w:pPr>
    </w:p>
    <w:p>
      <w:pPr>
        <w:widowControl w:val="0"/>
        <w:numPr>
          <w:ilvl w:val="0"/>
          <w:numId w:val="0"/>
        </w:numPr>
        <w:spacing w:before="0" w:beforeAutospacing="0" w:after="0" w:afterAutospacing="0"/>
        <w:jc w:val="both"/>
        <w:rPr>
          <w:rFonts w:ascii="仿宋_GB2312" w:hAnsi="华文楷体" w:eastAsia="仿宋_GB2312"/>
          <w:sz w:val="32"/>
          <w:szCs w:val="32"/>
        </w:rPr>
      </w:pPr>
      <w:r>
        <w:rPr>
          <w:rFonts w:hint="eastAsia" w:ascii="仿宋_GB2312" w:hAnsi="华文楷体" w:eastAsia="仿宋_GB2312"/>
          <w:sz w:val="32"/>
          <w:szCs w:val="32"/>
        </w:rPr>
        <w:drawing>
          <wp:inline distT="0" distB="0" distL="0" distR="0">
            <wp:extent cx="5274310" cy="3954780"/>
            <wp:effectExtent l="0" t="0" r="2540" b="7620"/>
            <wp:docPr id="2" name="图片 2" descr="C:\Users\heshan\Desktop\02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eshan\Desktop\0217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4960"/>
                    </a:xfrm>
                    <a:prstGeom prst="rect">
                      <a:avLst/>
                    </a:prstGeom>
                    <a:noFill/>
                    <a:ln>
                      <a:noFill/>
                    </a:ln>
                  </pic:spPr>
                </pic:pic>
              </a:graphicData>
            </a:graphic>
          </wp:inline>
        </w:drawing>
      </w:r>
    </w:p>
    <w:p>
      <w:pPr>
        <w:rPr>
          <w:rFonts w:ascii="仿宋_GB2312" w:hAnsi="华文楷体" w:eastAsia="仿宋_GB2312"/>
          <w:sz w:val="32"/>
          <w:szCs w:val="32"/>
        </w:rPr>
      </w:pPr>
    </w:p>
    <w:p>
      <w:pPr>
        <w:rPr>
          <w:rFonts w:hint="eastAsia" w:ascii="仿宋_GB2312" w:hAnsi="华文楷体" w:eastAsia="仿宋_GB2312"/>
          <w:sz w:val="32"/>
          <w:szCs w:val="32"/>
        </w:rPr>
      </w:pP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二、第二步：</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1、在【付款账号/户名】下拉菜单中选择保证金付款账号；</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2、在【收款单位】下拉菜单中选择常德市公共资源交易中心；</w:t>
      </w:r>
    </w:p>
    <w:p>
      <w:pPr>
        <w:ind w:firstLine="640" w:firstLineChars="200"/>
        <w:rPr>
          <w:rFonts w:hint="eastAsia" w:ascii="仿宋_GB2312" w:hAnsi="华文楷体" w:eastAsia="仿宋_GB2312"/>
          <w:sz w:val="32"/>
          <w:szCs w:val="32"/>
        </w:rPr>
      </w:pPr>
    </w:p>
    <w:p>
      <w:pPr>
        <w:ind w:firstLine="640" w:firstLineChars="200"/>
        <w:rPr>
          <w:rFonts w:ascii="仿宋_GB2312" w:hAnsi="华文楷体" w:eastAsia="仿宋_GB2312"/>
          <w:sz w:val="32"/>
          <w:szCs w:val="32"/>
        </w:rPr>
      </w:pPr>
      <w:r>
        <w:rPr>
          <w:rFonts w:hint="eastAsia" w:ascii="仿宋_GB2312" w:hAnsi="华文楷体" w:eastAsia="仿宋_GB2312"/>
          <w:sz w:val="32"/>
          <w:szCs w:val="32"/>
        </w:rPr>
        <w:drawing>
          <wp:inline distT="0" distB="0" distL="0" distR="0">
            <wp:extent cx="5274310" cy="3954780"/>
            <wp:effectExtent l="0" t="0" r="2540" b="7620"/>
            <wp:docPr id="3" name="图片 3" descr="C:\Users\heshan\Desktop\02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eshan\Desktop\0217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954960"/>
                    </a:xfrm>
                    <a:prstGeom prst="rect">
                      <a:avLst/>
                    </a:prstGeom>
                    <a:noFill/>
                    <a:ln>
                      <a:noFill/>
                    </a:ln>
                  </pic:spPr>
                </pic:pic>
              </a:graphicData>
            </a:graphic>
          </wp:inline>
        </w:drawing>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3、在【收款子账号】中，输入9位数的收款子账号，账号由投标人登录常德市公共资源交易网自助获取；</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4、在【确认收款子账号】中，重复输入9位数的收款子账号；</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5、在【缴存金额】中，输入缴存保证金金额；</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6、在【付款用途】中，只需输入“投标保证金”即可。</w:t>
      </w:r>
    </w:p>
    <w:p>
      <w:pPr>
        <w:ind w:firstLine="640" w:firstLineChars="200"/>
        <w:rPr>
          <w:rFonts w:ascii="仿宋_GB2312" w:hAnsi="华文楷体" w:eastAsia="仿宋_GB2312"/>
          <w:sz w:val="32"/>
          <w:szCs w:val="32"/>
        </w:rPr>
      </w:pPr>
      <w:r>
        <w:rPr>
          <w:rFonts w:hint="eastAsia" w:ascii="仿宋_GB2312" w:hAnsi="华文楷体" w:eastAsia="仿宋_GB2312"/>
          <w:sz w:val="32"/>
          <w:szCs w:val="32"/>
        </w:rPr>
        <w:drawing>
          <wp:inline distT="0" distB="0" distL="0" distR="0">
            <wp:extent cx="5274310" cy="3954780"/>
            <wp:effectExtent l="0" t="0" r="2540" b="7620"/>
            <wp:docPr id="4" name="图片 4" descr="C:\Users\heshan\Desktop\021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eshan\Desktop\0217_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4960"/>
                    </a:xfrm>
                    <a:prstGeom prst="rect">
                      <a:avLst/>
                    </a:prstGeom>
                    <a:noFill/>
                    <a:ln>
                      <a:noFill/>
                    </a:ln>
                  </pic:spPr>
                </pic:pic>
              </a:graphicData>
            </a:graphic>
          </wp:inline>
        </w:drawing>
      </w:r>
    </w:p>
    <w:p>
      <w:pPr>
        <w:rPr>
          <w:rFonts w:hint="eastAsia" w:ascii="仿宋_GB2312" w:hAnsi="华文楷体" w:eastAsia="仿宋_GB2312"/>
          <w:sz w:val="32"/>
          <w:szCs w:val="32"/>
        </w:rPr>
      </w:pP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三、第三步：</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点击【提交】，退出企业网银系统。</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四、第四步：</w:t>
      </w:r>
    </w:p>
    <w:p>
      <w:pPr>
        <w:widowControl w:val="0"/>
        <w:numPr>
          <w:ilvl w:val="0"/>
          <w:numId w:val="0"/>
        </w:numPr>
        <w:spacing w:before="0" w:beforeAutospacing="0" w:after="0" w:afterAutospacing="0"/>
        <w:ind w:firstLine="600"/>
        <w:jc w:val="both"/>
        <w:rPr>
          <w:rFonts w:hint="eastAsia" w:ascii="仿宋" w:hAnsi="仿宋" w:eastAsia="仿宋" w:cs="仿宋"/>
          <w:b w:val="0"/>
          <w:bCs/>
          <w:kern w:val="2"/>
          <w:sz w:val="30"/>
          <w:szCs w:val="30"/>
          <w:lang w:val="en-US" w:eastAsia="zh-CN"/>
        </w:rPr>
      </w:pPr>
      <w:r>
        <w:rPr>
          <w:rFonts w:hint="eastAsia" w:ascii="仿宋" w:hAnsi="仿宋" w:eastAsia="仿宋" w:cs="仿宋"/>
          <w:b w:val="0"/>
          <w:bCs/>
          <w:kern w:val="2"/>
          <w:sz w:val="30"/>
          <w:szCs w:val="30"/>
          <w:lang w:val="en-US" w:eastAsia="zh-CN"/>
        </w:rPr>
        <w:t>授权复核员登录企业网银界面，在业务菜单栏待处理选项中，点击【通过】，完成保证金柜面缴存流程。</w:t>
      </w:r>
    </w:p>
    <w:p>
      <w:pPr>
        <w:ind w:firstLine="720" w:firstLineChars="200"/>
        <w:rPr>
          <w:rFonts w:ascii="楷体_GB2312" w:hAnsi="华文楷体" w:eastAsia="楷体_GB2312"/>
          <w:sz w:val="36"/>
          <w:szCs w:val="36"/>
        </w:rPr>
      </w:pPr>
      <w:bookmarkStart w:id="0" w:name="_GoBack"/>
      <w:bookmarkEnd w:id="0"/>
    </w:p>
    <w:p>
      <w:pPr>
        <w:ind w:firstLine="720" w:firstLineChars="200"/>
        <w:rPr>
          <w:rFonts w:ascii="楷体_GB2312" w:hAnsi="华文楷体" w:eastAsia="楷体_GB2312"/>
          <w:sz w:val="36"/>
          <w:szCs w:val="36"/>
        </w:rPr>
      </w:pPr>
    </w:p>
    <w:p>
      <w:pPr>
        <w:ind w:firstLine="720" w:firstLineChars="200"/>
        <w:rPr>
          <w:rFonts w:ascii="楷体_GB2312" w:hAnsi="华文楷体" w:eastAsia="楷体_GB2312"/>
          <w:sz w:val="36"/>
          <w:szCs w:val="36"/>
        </w:rPr>
      </w:pPr>
    </w:p>
    <w:p>
      <w:pPr>
        <w:ind w:firstLine="640" w:firstLineChars="200"/>
        <w:jc w:val="right"/>
        <w:rPr>
          <w:rFonts w:ascii="仿宋_GB2312" w:hAnsi="华文楷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85"/>
    <w:rsid w:val="000312B9"/>
    <w:rsid w:val="00073AC1"/>
    <w:rsid w:val="00273203"/>
    <w:rsid w:val="002F3395"/>
    <w:rsid w:val="00336146"/>
    <w:rsid w:val="00365D27"/>
    <w:rsid w:val="00783F85"/>
    <w:rsid w:val="00CC58FE"/>
    <w:rsid w:val="00CE6BD8"/>
    <w:rsid w:val="00D3174D"/>
    <w:rsid w:val="00D759D3"/>
    <w:rsid w:val="00DD44B1"/>
    <w:rsid w:val="00E90218"/>
    <w:rsid w:val="30E5687A"/>
    <w:rsid w:val="32F9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jc w:val="left"/>
    </w:pPr>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widowControl w:val="0"/>
      <w:tabs>
        <w:tab w:val="center" w:pos="4153"/>
        <w:tab w:val="right" w:pos="8306"/>
      </w:tabs>
      <w:snapToGrid w:val="0"/>
      <w:spacing w:before="100" w:beforeAutospacing="1" w:after="100" w:afterAutospacing="1"/>
    </w:pPr>
    <w:rPr>
      <w:rFonts w:asciiTheme="minorHAnsi" w:hAnsiTheme="minorHAnsi" w:eastAsiaTheme="minorEastAsia" w:cstheme="minorBidi"/>
      <w:kern w:val="2"/>
      <w:sz w:val="18"/>
      <w:szCs w:val="18"/>
    </w:rPr>
  </w:style>
  <w:style w:type="paragraph" w:styleId="4">
    <w:name w:val="header"/>
    <w:basedOn w:val="1"/>
    <w:link w:val="7"/>
    <w:semiHidden/>
    <w:unhideWhenUsed/>
    <w:uiPriority w:val="99"/>
    <w:pPr>
      <w:widowControl w:val="0"/>
      <w:pBdr>
        <w:bottom w:val="single" w:color="auto" w:sz="6" w:space="1"/>
      </w:pBdr>
      <w:tabs>
        <w:tab w:val="center" w:pos="4153"/>
        <w:tab w:val="right" w:pos="8306"/>
      </w:tabs>
      <w:snapToGrid w:val="0"/>
      <w:spacing w:before="100" w:beforeAutospacing="1" w:after="100" w:afterAutospacing="1"/>
      <w:jc w:val="center"/>
    </w:pPr>
    <w:rPr>
      <w:rFonts w:asciiTheme="minorHAnsi" w:hAnsiTheme="minorHAnsi" w:eastAsiaTheme="minorEastAsia" w:cstheme="minorBidi"/>
      <w:kern w:val="2"/>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cdggzy</Company>
  <Pages>3</Pages>
  <Words>67</Words>
  <Characters>387</Characters>
  <Lines>3</Lines>
  <Paragraphs>1</Paragraphs>
  <TotalTime>6</TotalTime>
  <ScaleCrop>false</ScaleCrop>
  <LinksUpToDate>false</LinksUpToDate>
  <CharactersWithSpaces>453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2020-08-04T03:11:00Z</dcterms:created>
  <dc:creator>Jiang</dc:creator>
  <cp:lastModifiedBy>zengmeirong</cp:lastModifiedBy>
  <dcterms:modified xsi:type="dcterms:W3CDTF">2022-12-14T00:47:53Z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